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C1" w:rsidRPr="002D45E1" w:rsidRDefault="004B4CC1" w:rsidP="004B4CC1">
      <w:pPr>
        <w:rPr>
          <w:rFonts w:ascii="Tahoma" w:hAnsi="Tahoma" w:cs="Tahoma"/>
          <w:sz w:val="20"/>
          <w:szCs w:val="20"/>
        </w:rPr>
      </w:pPr>
      <w:r w:rsidRPr="002D45E1">
        <w:rPr>
          <w:rFonts w:ascii="Tahoma" w:hAnsi="Tahoma" w:cs="Tahoma"/>
          <w:color w:val="4F6128"/>
          <w:sz w:val="48"/>
          <w:szCs w:val="48"/>
        </w:rPr>
        <w:t>Senior Tips</w:t>
      </w:r>
    </w:p>
    <w:p w:rsidR="004B4CC1" w:rsidRDefault="004B4CC1" w:rsidP="004B4CC1">
      <w:pPr>
        <w:rPr>
          <w:rFonts w:ascii="Tahoma" w:hAnsi="Tahoma" w:cs="Tahoma"/>
          <w:b/>
          <w:bCs/>
          <w:sz w:val="20"/>
          <w:szCs w:val="20"/>
        </w:rPr>
      </w:pPr>
      <w:r>
        <w:rPr>
          <w:rFonts w:ascii="Tahoma" w:hAnsi="Tahoma" w:cs="Tahoma"/>
          <w:b/>
          <w:bCs/>
          <w:color w:val="4F6128"/>
        </w:rPr>
        <w:t xml:space="preserve">  </w:t>
      </w:r>
      <w:r>
        <w:rPr>
          <w:rFonts w:ascii="Tahoma" w:hAnsi="Tahoma" w:cs="Tahoma"/>
          <w:b/>
          <w:bCs/>
          <w:color w:val="4F6128"/>
        </w:rPr>
        <w:t xml:space="preserve">Tips on how to make your </w:t>
      </w:r>
      <w:r>
        <w:rPr>
          <w:rFonts w:ascii="Tahoma" w:hAnsi="Tahoma" w:cs="Tahoma"/>
          <w:b/>
          <w:bCs/>
          <w:color w:val="4F6128"/>
        </w:rPr>
        <w:t>l</w:t>
      </w:r>
      <w:r>
        <w:rPr>
          <w:rFonts w:ascii="Tahoma" w:hAnsi="Tahoma" w:cs="Tahoma"/>
          <w:b/>
          <w:bCs/>
          <w:color w:val="4F6128"/>
        </w:rPr>
        <w:t>ife better!</w:t>
      </w:r>
    </w:p>
    <w:p w:rsidR="004B4CC1" w:rsidRDefault="004B4CC1" w:rsidP="004B4CC1">
      <w:pPr>
        <w:spacing w:after="240"/>
        <w:rPr>
          <w:rFonts w:ascii="Tahoma" w:hAnsi="Tahoma" w:cs="Tahoma"/>
          <w:sz w:val="20"/>
          <w:szCs w:val="20"/>
        </w:rPr>
      </w:pPr>
      <w:r>
        <w:rPr>
          <w:rFonts w:ascii="Tahoma" w:hAnsi="Tahoma" w:cs="Tahoma"/>
          <w:b/>
          <w:bCs/>
          <w:color w:val="4F6128"/>
        </w:rPr>
        <w:t xml:space="preserve">  </w:t>
      </w:r>
      <w:r>
        <w:rPr>
          <w:rFonts w:ascii="Tahoma" w:hAnsi="Tahoma" w:cs="Tahoma"/>
          <w:b/>
          <w:bCs/>
          <w:color w:val="4F6128"/>
        </w:rPr>
        <w:t>From Your Elder Law &amp; Life Care Planning Team</w:t>
      </w:r>
    </w:p>
    <w:p w:rsidR="004B4CC1" w:rsidRDefault="004B4CC1" w:rsidP="004B4CC1">
      <w:pPr>
        <w:shd w:val="clear" w:color="auto" w:fill="FFFFFF"/>
        <w:rPr>
          <w:color w:val="222222"/>
        </w:rPr>
      </w:pPr>
      <w:r>
        <w:rPr>
          <w:rFonts w:ascii="Trebuchet MS" w:hAnsi="Trebuchet MS"/>
          <w:b/>
          <w:bCs/>
          <w:color w:val="006600"/>
          <w:sz w:val="32"/>
          <w:szCs w:val="32"/>
        </w:rPr>
        <w:t>July 2013</w:t>
      </w:r>
    </w:p>
    <w:p w:rsidR="004B4CC1" w:rsidRDefault="004B4CC1" w:rsidP="004B4CC1">
      <w:pPr>
        <w:shd w:val="clear" w:color="auto" w:fill="FFFFFF"/>
        <w:spacing w:after="240"/>
        <w:rPr>
          <w:color w:val="222222"/>
        </w:rPr>
      </w:pPr>
      <w:r>
        <w:rPr>
          <w:rFonts w:ascii="Trebuchet MS" w:hAnsi="Trebuchet MS"/>
          <w:b/>
          <w:bCs/>
          <w:color w:val="006600"/>
          <w:sz w:val="32"/>
          <w:szCs w:val="32"/>
        </w:rPr>
        <w:t>Capacity in Guardianship and Conservatorship Proceedings</w:t>
      </w:r>
    </w:p>
    <w:p w:rsidR="004B4CC1" w:rsidRDefault="004B4CC1" w:rsidP="004B4CC1">
      <w:pPr>
        <w:shd w:val="clear" w:color="auto" w:fill="FFFFFF"/>
        <w:spacing w:after="240"/>
        <w:rPr>
          <w:color w:val="222222"/>
        </w:rPr>
      </w:pPr>
      <w:r>
        <w:rPr>
          <w:rFonts w:ascii="Tahoma" w:hAnsi="Tahoma" w:cs="Tahoma"/>
          <w:color w:val="222222"/>
          <w:sz w:val="28"/>
          <w:szCs w:val="28"/>
        </w:rPr>
        <w:t>Guardianships and conservatorships for older adults are on the rise, probably due in part to the baby boomer generation growing older.  In guardianship and conservatorship proceedings judges are asked to determine the capacity of protected persons. These decisions are complex, and in making them, judges have to balance the individual’s well being against the loss of their individual rights.</w:t>
      </w:r>
    </w:p>
    <w:p w:rsidR="004B4CC1" w:rsidRDefault="004B4CC1" w:rsidP="004B4CC1">
      <w:pPr>
        <w:shd w:val="clear" w:color="auto" w:fill="FFFFFF"/>
        <w:spacing w:after="240"/>
        <w:rPr>
          <w:color w:val="222222"/>
        </w:rPr>
      </w:pPr>
      <w:r>
        <w:rPr>
          <w:rFonts w:ascii="Tahoma" w:hAnsi="Tahoma" w:cs="Tahoma"/>
          <w:color w:val="222222"/>
          <w:sz w:val="28"/>
          <w:szCs w:val="28"/>
        </w:rPr>
        <w:t xml:space="preserve">In the handbook, “The Judicial Determination of Capacity of Older Adults in Guardianship Proceedings”, developed by the American Bar Association and the American Psychological Association, six guidelines for determining incapacity </w:t>
      </w:r>
      <w:proofErr w:type="gramStart"/>
      <w:r>
        <w:rPr>
          <w:rFonts w:ascii="Tahoma" w:hAnsi="Tahoma" w:cs="Tahoma"/>
          <w:color w:val="222222"/>
          <w:sz w:val="28"/>
          <w:szCs w:val="28"/>
        </w:rPr>
        <w:t>are</w:t>
      </w:r>
      <w:proofErr w:type="gramEnd"/>
      <w:r>
        <w:rPr>
          <w:rFonts w:ascii="Tahoma" w:hAnsi="Tahoma" w:cs="Tahoma"/>
          <w:color w:val="222222"/>
          <w:sz w:val="28"/>
          <w:szCs w:val="28"/>
        </w:rPr>
        <w:t xml:space="preserve"> listed:</w:t>
      </w:r>
    </w:p>
    <w:p w:rsidR="004B4CC1" w:rsidRDefault="004B4CC1" w:rsidP="004B4CC1">
      <w:pPr>
        <w:shd w:val="clear" w:color="auto" w:fill="FFFFFF"/>
        <w:spacing w:after="120"/>
        <w:ind w:left="720"/>
        <w:rPr>
          <w:color w:val="222222"/>
        </w:rPr>
      </w:pPr>
      <w:r>
        <w:rPr>
          <w:rFonts w:ascii="Tahoma" w:hAnsi="Tahoma" w:cs="Tahoma"/>
          <w:color w:val="222222"/>
          <w:sz w:val="28"/>
          <w:szCs w:val="28"/>
        </w:rPr>
        <w:t>1.</w:t>
      </w:r>
      <w:r>
        <w:rPr>
          <w:color w:val="222222"/>
          <w:sz w:val="14"/>
          <w:szCs w:val="14"/>
        </w:rPr>
        <w:t>   </w:t>
      </w:r>
      <w:r>
        <w:rPr>
          <w:rStyle w:val="apple-converted-space"/>
          <w:color w:val="222222"/>
          <w:sz w:val="14"/>
          <w:szCs w:val="14"/>
        </w:rPr>
        <w:t> </w:t>
      </w:r>
      <w:r>
        <w:rPr>
          <w:rFonts w:ascii="Tahoma" w:hAnsi="Tahoma" w:cs="Tahoma"/>
          <w:color w:val="222222"/>
          <w:sz w:val="28"/>
          <w:szCs w:val="28"/>
        </w:rPr>
        <w:t>Medical Condition:  What is the medical cause of the individual’s alleged incapacities and will it improve, stay the same, or get worse?</w:t>
      </w:r>
    </w:p>
    <w:p w:rsidR="004B4CC1" w:rsidRDefault="004B4CC1" w:rsidP="004B4CC1">
      <w:pPr>
        <w:shd w:val="clear" w:color="auto" w:fill="FFFFFF"/>
        <w:spacing w:after="120"/>
        <w:ind w:left="720"/>
        <w:rPr>
          <w:color w:val="222222"/>
        </w:rPr>
      </w:pPr>
      <w:r>
        <w:rPr>
          <w:rFonts w:ascii="Tahoma" w:hAnsi="Tahoma" w:cs="Tahoma"/>
          <w:color w:val="222222"/>
          <w:sz w:val="28"/>
          <w:szCs w:val="28"/>
        </w:rPr>
        <w:t>2.</w:t>
      </w:r>
      <w:r>
        <w:rPr>
          <w:color w:val="222222"/>
          <w:sz w:val="14"/>
          <w:szCs w:val="14"/>
        </w:rPr>
        <w:t>   </w:t>
      </w:r>
      <w:r>
        <w:rPr>
          <w:rStyle w:val="apple-converted-space"/>
          <w:color w:val="222222"/>
          <w:sz w:val="14"/>
          <w:szCs w:val="14"/>
        </w:rPr>
        <w:t> </w:t>
      </w:r>
      <w:r>
        <w:rPr>
          <w:rFonts w:ascii="Tahoma" w:hAnsi="Tahoma" w:cs="Tahoma"/>
          <w:color w:val="222222"/>
          <w:sz w:val="28"/>
          <w:szCs w:val="28"/>
        </w:rPr>
        <w:t>Cognitive Functioning:  In what area is the individual’s decision-making and thinking impaired and to what extent?</w:t>
      </w:r>
    </w:p>
    <w:p w:rsidR="004B4CC1" w:rsidRDefault="004B4CC1" w:rsidP="004B4CC1">
      <w:pPr>
        <w:shd w:val="clear" w:color="auto" w:fill="FFFFFF"/>
        <w:spacing w:after="120"/>
        <w:ind w:left="720"/>
        <w:rPr>
          <w:color w:val="222222"/>
        </w:rPr>
      </w:pPr>
      <w:r>
        <w:rPr>
          <w:rFonts w:ascii="Tahoma" w:hAnsi="Tahoma" w:cs="Tahoma"/>
          <w:color w:val="222222"/>
          <w:sz w:val="28"/>
          <w:szCs w:val="28"/>
        </w:rPr>
        <w:t>3.</w:t>
      </w:r>
      <w:r>
        <w:rPr>
          <w:color w:val="222222"/>
          <w:sz w:val="14"/>
          <w:szCs w:val="14"/>
        </w:rPr>
        <w:t>   </w:t>
      </w:r>
      <w:r>
        <w:rPr>
          <w:rStyle w:val="apple-converted-space"/>
          <w:color w:val="222222"/>
          <w:sz w:val="14"/>
          <w:szCs w:val="14"/>
        </w:rPr>
        <w:t> </w:t>
      </w:r>
      <w:r>
        <w:rPr>
          <w:rFonts w:ascii="Tahoma" w:hAnsi="Tahoma" w:cs="Tahoma"/>
          <w:color w:val="222222"/>
          <w:sz w:val="28"/>
          <w:szCs w:val="28"/>
        </w:rPr>
        <w:t>Everyday Functioning:  What can the individual do and not do in terms of everyday activities?  Does the individual have the insight and willingness to use assistance or adaptations in problem areas? </w:t>
      </w:r>
    </w:p>
    <w:p w:rsidR="004B4CC1" w:rsidRDefault="004B4CC1" w:rsidP="004B4CC1">
      <w:pPr>
        <w:shd w:val="clear" w:color="auto" w:fill="FFFFFF"/>
        <w:spacing w:after="120"/>
        <w:ind w:left="720"/>
        <w:rPr>
          <w:color w:val="222222"/>
        </w:rPr>
      </w:pPr>
      <w:r>
        <w:rPr>
          <w:rFonts w:ascii="Tahoma" w:hAnsi="Tahoma" w:cs="Tahoma"/>
          <w:color w:val="222222"/>
          <w:sz w:val="28"/>
          <w:szCs w:val="28"/>
        </w:rPr>
        <w:t>4.</w:t>
      </w:r>
      <w:r>
        <w:rPr>
          <w:color w:val="222222"/>
          <w:sz w:val="14"/>
          <w:szCs w:val="14"/>
        </w:rPr>
        <w:t>   </w:t>
      </w:r>
      <w:r>
        <w:rPr>
          <w:rStyle w:val="apple-converted-space"/>
          <w:color w:val="222222"/>
          <w:sz w:val="14"/>
          <w:szCs w:val="14"/>
        </w:rPr>
        <w:t> </w:t>
      </w:r>
      <w:r>
        <w:rPr>
          <w:rFonts w:ascii="Tahoma" w:hAnsi="Tahoma" w:cs="Tahoma"/>
          <w:color w:val="222222"/>
          <w:sz w:val="28"/>
          <w:szCs w:val="28"/>
        </w:rPr>
        <w:t>Consistency of Choices with Values, Patterns, and Preferences:  Are the person’s choices consistent with long-held patterns or values and preferences?</w:t>
      </w:r>
    </w:p>
    <w:p w:rsidR="004B4CC1" w:rsidRDefault="004B4CC1" w:rsidP="004B4CC1">
      <w:pPr>
        <w:shd w:val="clear" w:color="auto" w:fill="FFFFFF"/>
        <w:spacing w:after="120"/>
        <w:ind w:left="720"/>
        <w:rPr>
          <w:color w:val="222222"/>
        </w:rPr>
      </w:pPr>
      <w:r>
        <w:rPr>
          <w:rFonts w:ascii="Tahoma" w:hAnsi="Tahoma" w:cs="Tahoma"/>
          <w:color w:val="222222"/>
          <w:sz w:val="28"/>
          <w:szCs w:val="28"/>
        </w:rPr>
        <w:t>5.</w:t>
      </w:r>
      <w:r>
        <w:rPr>
          <w:color w:val="222222"/>
          <w:sz w:val="14"/>
          <w:szCs w:val="14"/>
        </w:rPr>
        <w:t>   </w:t>
      </w:r>
      <w:r>
        <w:rPr>
          <w:rStyle w:val="apple-converted-space"/>
          <w:color w:val="222222"/>
          <w:sz w:val="14"/>
          <w:szCs w:val="14"/>
        </w:rPr>
        <w:t> </w:t>
      </w:r>
      <w:r>
        <w:rPr>
          <w:rFonts w:ascii="Tahoma" w:hAnsi="Tahoma" w:cs="Tahoma"/>
          <w:color w:val="222222"/>
          <w:sz w:val="28"/>
          <w:szCs w:val="28"/>
        </w:rPr>
        <w:t>Risk of Harm and Level of Supervision Needed:  What is the level of supervision needed?  How severe is the risk of harm to the individual?</w:t>
      </w:r>
    </w:p>
    <w:p w:rsidR="004B4CC1" w:rsidRDefault="004B4CC1" w:rsidP="004B4CC1">
      <w:pPr>
        <w:shd w:val="clear" w:color="auto" w:fill="FFFFFF"/>
        <w:spacing w:after="240"/>
        <w:ind w:left="720"/>
        <w:rPr>
          <w:color w:val="222222"/>
        </w:rPr>
      </w:pPr>
      <w:r>
        <w:rPr>
          <w:rFonts w:ascii="Tahoma" w:hAnsi="Tahoma" w:cs="Tahoma"/>
          <w:color w:val="222222"/>
          <w:sz w:val="28"/>
          <w:szCs w:val="28"/>
        </w:rPr>
        <w:t>6.</w:t>
      </w:r>
      <w:r>
        <w:rPr>
          <w:color w:val="222222"/>
          <w:sz w:val="14"/>
          <w:szCs w:val="14"/>
        </w:rPr>
        <w:t>   </w:t>
      </w:r>
      <w:r>
        <w:rPr>
          <w:rStyle w:val="apple-converted-space"/>
          <w:color w:val="222222"/>
          <w:sz w:val="14"/>
          <w:szCs w:val="14"/>
        </w:rPr>
        <w:t> </w:t>
      </w:r>
      <w:r>
        <w:rPr>
          <w:rFonts w:ascii="Tahoma" w:hAnsi="Tahoma" w:cs="Tahoma"/>
          <w:color w:val="222222"/>
          <w:sz w:val="28"/>
          <w:szCs w:val="28"/>
        </w:rPr>
        <w:t>Means to Enhance Functioning:  What treatments might enhance the individual’s functioning?</w:t>
      </w:r>
    </w:p>
    <w:p w:rsidR="004B4CC1" w:rsidRDefault="004B4CC1" w:rsidP="004B4CC1">
      <w:pPr>
        <w:shd w:val="clear" w:color="auto" w:fill="FFFFFF"/>
        <w:spacing w:after="240"/>
        <w:rPr>
          <w:color w:val="222222"/>
        </w:rPr>
      </w:pPr>
      <w:r>
        <w:rPr>
          <w:rFonts w:ascii="Tahoma" w:hAnsi="Tahoma" w:cs="Tahoma"/>
          <w:color w:val="222222"/>
          <w:sz w:val="28"/>
          <w:szCs w:val="28"/>
        </w:rPr>
        <w:t>These guidelines are evaluated in relation to</w:t>
      </w:r>
      <w:r>
        <w:rPr>
          <w:rStyle w:val="apple-converted-space"/>
          <w:rFonts w:ascii="Tahoma" w:hAnsi="Tahoma" w:cs="Tahoma"/>
          <w:color w:val="222222"/>
          <w:sz w:val="28"/>
          <w:szCs w:val="28"/>
        </w:rPr>
        <w:t> </w:t>
      </w:r>
      <w:r>
        <w:rPr>
          <w:rFonts w:ascii="Tahoma" w:hAnsi="Tahoma" w:cs="Tahoma"/>
          <w:color w:val="222222"/>
          <w:sz w:val="28"/>
          <w:szCs w:val="28"/>
        </w:rPr>
        <w:t>Idaho’s statutory definition of incapacity found in Idaho Code §15-5-101:</w:t>
      </w:r>
    </w:p>
    <w:p w:rsidR="004B4CC1" w:rsidRDefault="004B4CC1" w:rsidP="004B4CC1">
      <w:pPr>
        <w:shd w:val="clear" w:color="auto" w:fill="FFFFFF"/>
        <w:spacing w:after="240"/>
        <w:rPr>
          <w:color w:val="222222"/>
        </w:rPr>
      </w:pPr>
      <w:r>
        <w:rPr>
          <w:rFonts w:ascii="Tahoma" w:hAnsi="Tahoma" w:cs="Tahoma"/>
          <w:color w:val="222222"/>
          <w:sz w:val="28"/>
          <w:szCs w:val="28"/>
        </w:rPr>
        <w:lastRenderedPageBreak/>
        <w:t>“Incapacitated person” means any person who is impaired, except by minority, to the extent that he lacks sufficient understanding or capacity to make or communicate responsible decisions concerning his person.</w:t>
      </w:r>
    </w:p>
    <w:p w:rsidR="004B4CC1" w:rsidRDefault="004B4CC1" w:rsidP="004B4CC1">
      <w:pPr>
        <w:shd w:val="clear" w:color="auto" w:fill="FFFFFF"/>
        <w:spacing w:after="240"/>
        <w:rPr>
          <w:color w:val="222222"/>
        </w:rPr>
      </w:pPr>
      <w:r>
        <w:rPr>
          <w:rFonts w:ascii="Tahoma" w:hAnsi="Tahoma" w:cs="Tahoma"/>
          <w:color w:val="222222"/>
          <w:sz w:val="28"/>
          <w:szCs w:val="28"/>
        </w:rPr>
        <w:t>“Incapacity” means a legal, not a medical disability and shall be measured by function limitations and it shall be construed to mean or refer to any person who has suffered, is suffering, or is likely to suffer substantial harm due to an inability to provide for his personal needs for food, clothing, shelter, healthcare, or safety, or an inability to manage his or her property or financial affairs.</w:t>
      </w:r>
    </w:p>
    <w:p w:rsidR="004B4CC1" w:rsidRDefault="004B4CC1" w:rsidP="004B4CC1">
      <w:pPr>
        <w:shd w:val="clear" w:color="auto" w:fill="FFFFFF"/>
        <w:spacing w:after="240"/>
        <w:rPr>
          <w:color w:val="222222"/>
        </w:rPr>
      </w:pPr>
      <w:r>
        <w:rPr>
          <w:rFonts w:ascii="Tahoma" w:hAnsi="Tahoma" w:cs="Tahoma"/>
          <w:color w:val="222222"/>
          <w:sz w:val="28"/>
          <w:szCs w:val="28"/>
        </w:rPr>
        <w:t>According to the handbook, the judge’s role in making a capacity determination is to:</w:t>
      </w:r>
    </w:p>
    <w:p w:rsidR="004B4CC1" w:rsidRDefault="004B4CC1" w:rsidP="004B4CC1">
      <w:pPr>
        <w:shd w:val="clear" w:color="auto" w:fill="FFFFFF"/>
        <w:ind w:left="720"/>
        <w:rPr>
          <w:color w:val="222222"/>
        </w:rPr>
      </w:pPr>
      <w:r>
        <w:rPr>
          <w:rFonts w:ascii="Symbol" w:hAnsi="Symbol"/>
          <w:color w:val="222222"/>
          <w:sz w:val="28"/>
          <w:szCs w:val="28"/>
        </w:rPr>
        <w:t></w:t>
      </w:r>
      <w:r>
        <w:rPr>
          <w:color w:val="222222"/>
          <w:sz w:val="14"/>
          <w:szCs w:val="14"/>
        </w:rPr>
        <w:t>       </w:t>
      </w:r>
      <w:r>
        <w:rPr>
          <w:rStyle w:val="apple-converted-space"/>
          <w:color w:val="222222"/>
          <w:sz w:val="14"/>
          <w:szCs w:val="14"/>
        </w:rPr>
        <w:t> </w:t>
      </w:r>
      <w:r>
        <w:rPr>
          <w:rFonts w:ascii="Tahoma" w:hAnsi="Tahoma" w:cs="Tahoma"/>
          <w:color w:val="222222"/>
          <w:sz w:val="28"/>
          <w:szCs w:val="28"/>
        </w:rPr>
        <w:t>protect rights</w:t>
      </w:r>
    </w:p>
    <w:p w:rsidR="004B4CC1" w:rsidRDefault="004B4CC1" w:rsidP="004B4CC1">
      <w:pPr>
        <w:shd w:val="clear" w:color="auto" w:fill="FFFFFF"/>
        <w:ind w:left="720"/>
        <w:rPr>
          <w:color w:val="222222"/>
        </w:rPr>
      </w:pPr>
      <w:r>
        <w:rPr>
          <w:rFonts w:ascii="Symbol" w:hAnsi="Symbol"/>
          <w:color w:val="222222"/>
          <w:sz w:val="28"/>
          <w:szCs w:val="28"/>
        </w:rPr>
        <w:t></w:t>
      </w:r>
      <w:r>
        <w:rPr>
          <w:color w:val="222222"/>
          <w:sz w:val="14"/>
          <w:szCs w:val="14"/>
        </w:rPr>
        <w:t>       </w:t>
      </w:r>
      <w:r>
        <w:rPr>
          <w:rStyle w:val="apple-converted-space"/>
          <w:color w:val="222222"/>
          <w:sz w:val="14"/>
          <w:szCs w:val="14"/>
        </w:rPr>
        <w:t> </w:t>
      </w:r>
      <w:r>
        <w:rPr>
          <w:rFonts w:ascii="Tahoma" w:hAnsi="Tahoma" w:cs="Tahoma"/>
          <w:color w:val="222222"/>
          <w:sz w:val="28"/>
          <w:szCs w:val="28"/>
        </w:rPr>
        <w:t>promote self determination  </w:t>
      </w:r>
    </w:p>
    <w:p w:rsidR="004B4CC1" w:rsidRDefault="004B4CC1" w:rsidP="004B4CC1">
      <w:pPr>
        <w:shd w:val="clear" w:color="auto" w:fill="FFFFFF"/>
        <w:ind w:left="720"/>
        <w:rPr>
          <w:color w:val="222222"/>
        </w:rPr>
      </w:pPr>
      <w:r>
        <w:rPr>
          <w:rFonts w:ascii="Symbol" w:hAnsi="Symbol"/>
          <w:color w:val="222222"/>
          <w:sz w:val="28"/>
          <w:szCs w:val="28"/>
        </w:rPr>
        <w:t></w:t>
      </w:r>
      <w:r>
        <w:rPr>
          <w:color w:val="222222"/>
          <w:sz w:val="14"/>
          <w:szCs w:val="14"/>
        </w:rPr>
        <w:t>       </w:t>
      </w:r>
      <w:r>
        <w:rPr>
          <w:rStyle w:val="apple-converted-space"/>
          <w:color w:val="222222"/>
          <w:sz w:val="14"/>
          <w:szCs w:val="14"/>
        </w:rPr>
        <w:t> </w:t>
      </w:r>
      <w:r>
        <w:rPr>
          <w:rFonts w:ascii="Tahoma" w:hAnsi="Tahoma" w:cs="Tahoma"/>
          <w:color w:val="222222"/>
          <w:sz w:val="28"/>
          <w:szCs w:val="28"/>
        </w:rPr>
        <w:t>identify less restrictive alternatives</w:t>
      </w:r>
    </w:p>
    <w:p w:rsidR="004B4CC1" w:rsidRDefault="004B4CC1" w:rsidP="004B4CC1">
      <w:pPr>
        <w:shd w:val="clear" w:color="auto" w:fill="FFFFFF"/>
        <w:ind w:left="720"/>
        <w:rPr>
          <w:color w:val="222222"/>
        </w:rPr>
      </w:pPr>
      <w:r>
        <w:rPr>
          <w:rFonts w:ascii="Symbol" w:hAnsi="Symbol"/>
          <w:color w:val="222222"/>
          <w:sz w:val="28"/>
          <w:szCs w:val="28"/>
        </w:rPr>
        <w:t></w:t>
      </w:r>
      <w:r>
        <w:rPr>
          <w:color w:val="222222"/>
          <w:sz w:val="14"/>
          <w:szCs w:val="14"/>
        </w:rPr>
        <w:t>       </w:t>
      </w:r>
      <w:r>
        <w:rPr>
          <w:rStyle w:val="apple-converted-space"/>
          <w:color w:val="222222"/>
          <w:sz w:val="14"/>
          <w:szCs w:val="14"/>
        </w:rPr>
        <w:t> </w:t>
      </w:r>
      <w:r>
        <w:rPr>
          <w:rFonts w:ascii="Tahoma" w:hAnsi="Tahoma" w:cs="Tahoma"/>
          <w:color w:val="222222"/>
          <w:sz w:val="28"/>
          <w:szCs w:val="28"/>
        </w:rPr>
        <w:t>provide guidance to guardians</w:t>
      </w:r>
    </w:p>
    <w:p w:rsidR="004B4CC1" w:rsidRDefault="004B4CC1" w:rsidP="004B4CC1">
      <w:pPr>
        <w:shd w:val="clear" w:color="auto" w:fill="FFFFFF"/>
        <w:ind w:left="720"/>
        <w:rPr>
          <w:color w:val="222222"/>
        </w:rPr>
      </w:pPr>
      <w:r>
        <w:rPr>
          <w:rFonts w:ascii="Symbol" w:hAnsi="Symbol"/>
          <w:color w:val="222222"/>
          <w:sz w:val="28"/>
          <w:szCs w:val="28"/>
        </w:rPr>
        <w:t></w:t>
      </w:r>
      <w:r>
        <w:rPr>
          <w:color w:val="222222"/>
          <w:sz w:val="14"/>
          <w:szCs w:val="14"/>
        </w:rPr>
        <w:t>       </w:t>
      </w:r>
      <w:r>
        <w:rPr>
          <w:rStyle w:val="apple-converted-space"/>
          <w:color w:val="222222"/>
          <w:sz w:val="14"/>
          <w:szCs w:val="14"/>
        </w:rPr>
        <w:t> </w:t>
      </w:r>
      <w:proofErr w:type="gramStart"/>
      <w:r>
        <w:rPr>
          <w:rFonts w:ascii="Tahoma" w:hAnsi="Tahoma" w:cs="Tahoma"/>
          <w:color w:val="222222"/>
          <w:sz w:val="28"/>
          <w:szCs w:val="28"/>
        </w:rPr>
        <w:t>craft</w:t>
      </w:r>
      <w:proofErr w:type="gramEnd"/>
      <w:r>
        <w:rPr>
          <w:rFonts w:ascii="Tahoma" w:hAnsi="Tahoma" w:cs="Tahoma"/>
          <w:color w:val="222222"/>
          <w:sz w:val="28"/>
          <w:szCs w:val="28"/>
        </w:rPr>
        <w:t xml:space="preserve"> limited guardianships when possible</w:t>
      </w:r>
    </w:p>
    <w:p w:rsidR="004B4CC1" w:rsidRDefault="004B4CC1" w:rsidP="004B4CC1">
      <w:pPr>
        <w:shd w:val="clear" w:color="auto" w:fill="FFFFFF"/>
        <w:rPr>
          <w:color w:val="222222"/>
        </w:rPr>
      </w:pPr>
      <w:r>
        <w:rPr>
          <w:rFonts w:ascii="Tahoma" w:hAnsi="Tahoma" w:cs="Tahoma"/>
          <w:color w:val="222222"/>
          <w:sz w:val="28"/>
          <w:szCs w:val="28"/>
        </w:rPr>
        <w:t> </w:t>
      </w:r>
    </w:p>
    <w:p w:rsidR="004B4CC1" w:rsidRDefault="004B4CC1" w:rsidP="004B4CC1">
      <w:pPr>
        <w:shd w:val="clear" w:color="auto" w:fill="FFFFFF"/>
        <w:spacing w:after="240"/>
        <w:rPr>
          <w:color w:val="222222"/>
        </w:rPr>
      </w:pPr>
      <w:r>
        <w:rPr>
          <w:rFonts w:ascii="Tahoma" w:hAnsi="Tahoma" w:cs="Tahoma"/>
          <w:color w:val="222222"/>
          <w:sz w:val="28"/>
          <w:szCs w:val="28"/>
        </w:rPr>
        <w:t>If you have questions about the rights or safety of a loved one, contact the law office of Tom Packer.</w:t>
      </w:r>
    </w:p>
    <w:p w:rsidR="004B4CC1" w:rsidRPr="002D45E1" w:rsidRDefault="004B4CC1" w:rsidP="004B4CC1">
      <w:pPr>
        <w:spacing w:after="240"/>
        <w:rPr>
          <w:rFonts w:ascii="Tahoma" w:hAnsi="Tahoma" w:cs="Tahoma"/>
          <w:b/>
          <w:bCs/>
          <w:color w:val="006600"/>
        </w:rPr>
      </w:pPr>
      <w:r w:rsidRPr="002D45E1">
        <w:rPr>
          <w:rFonts w:ascii="Tahoma" w:hAnsi="Tahoma" w:cs="Tahoma"/>
          <w:b/>
          <w:bCs/>
          <w:color w:val="006600"/>
        </w:rPr>
        <w:t xml:space="preserve">Tom Packer is an Elder Care Attorney serving all of </w:t>
      </w:r>
      <w:smartTag w:uri="urn:schemas-microsoft-com:office:smarttags" w:element="place">
        <w:r w:rsidRPr="002D45E1">
          <w:rPr>
            <w:rFonts w:ascii="Tahoma" w:hAnsi="Tahoma" w:cs="Tahoma"/>
            <w:b/>
            <w:bCs/>
            <w:color w:val="006600"/>
          </w:rPr>
          <w:t>Southeast Idaho</w:t>
        </w:r>
      </w:smartTag>
      <w:r w:rsidRPr="002D45E1">
        <w:rPr>
          <w:rFonts w:ascii="Tahoma" w:hAnsi="Tahoma" w:cs="Tahoma"/>
          <w:b/>
          <w:bCs/>
          <w:color w:val="006600"/>
        </w:rPr>
        <w:t>.</w:t>
      </w:r>
    </w:p>
    <w:p w:rsidR="004B4CC1" w:rsidRDefault="004B4CC1" w:rsidP="004B4CC1">
      <w:pPr>
        <w:rPr>
          <w:rFonts w:ascii="Trebuchet MS" w:hAnsi="Trebuchet MS"/>
          <w:b/>
          <w:bCs/>
          <w:color w:val="006600"/>
          <w:sz w:val="32"/>
          <w:szCs w:val="32"/>
        </w:rPr>
      </w:pPr>
      <w:r w:rsidRPr="002D45E1">
        <w:rPr>
          <w:rFonts w:ascii="Tahoma" w:hAnsi="Tahoma" w:cs="Tahoma"/>
          <w:b/>
          <w:bCs/>
          <w:color w:val="006600"/>
        </w:rPr>
        <w:t>Visit www.packereldercarelaw.com</w:t>
      </w:r>
      <w:r>
        <w:rPr>
          <w:rFonts w:ascii="Trebuchet MS" w:hAnsi="Trebuchet MS"/>
          <w:b/>
          <w:bCs/>
          <w:color w:val="006600"/>
          <w:sz w:val="32"/>
          <w:szCs w:val="32"/>
        </w:rPr>
        <w:t xml:space="preserve">  </w:t>
      </w:r>
    </w:p>
    <w:p w:rsidR="00C0262B" w:rsidRDefault="00C0262B"/>
    <w:sectPr w:rsidR="00C0262B" w:rsidSect="00C026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B4CC1"/>
    <w:rsid w:val="004B4CC1"/>
    <w:rsid w:val="00C02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m">
    <w:name w:val="EmailStyle15"/>
    <w:aliases w:val="EmailStyle15"/>
    <w:basedOn w:val="DefaultParagraphFont"/>
    <w:semiHidden/>
    <w:personal/>
    <w:personalCompose/>
    <w:rsid w:val="004B4CC1"/>
    <w:rPr>
      <w:rFonts w:ascii="Arial" w:hAnsi="Arial" w:cs="Arial"/>
      <w:color w:val="auto"/>
      <w:sz w:val="20"/>
      <w:szCs w:val="20"/>
    </w:rPr>
  </w:style>
  <w:style w:type="character" w:customStyle="1" w:styleId="apple-converted-space">
    <w:name w:val="apple-converted-space"/>
    <w:basedOn w:val="DefaultParagraphFont"/>
    <w:rsid w:val="004B4CC1"/>
  </w:style>
</w:styles>
</file>

<file path=word/webSettings.xml><?xml version="1.0" encoding="utf-8"?>
<w:webSettings xmlns:r="http://schemas.openxmlformats.org/officeDocument/2006/relationships" xmlns:w="http://schemas.openxmlformats.org/wordprocessingml/2006/main">
  <w:divs>
    <w:div w:id="2073120595">
      <w:bodyDiv w:val="1"/>
      <w:marLeft w:val="0"/>
      <w:marRight w:val="0"/>
      <w:marTop w:val="0"/>
      <w:marBottom w:val="0"/>
      <w:divBdr>
        <w:top w:val="none" w:sz="0" w:space="0" w:color="auto"/>
        <w:left w:val="none" w:sz="0" w:space="0" w:color="auto"/>
        <w:bottom w:val="none" w:sz="0" w:space="0" w:color="auto"/>
        <w:right w:val="none" w:sz="0" w:space="0" w:color="auto"/>
      </w:divBdr>
      <w:divsChild>
        <w:div w:id="86181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208514">
              <w:marLeft w:val="0"/>
              <w:marRight w:val="0"/>
              <w:marTop w:val="0"/>
              <w:marBottom w:val="0"/>
              <w:divBdr>
                <w:top w:val="none" w:sz="0" w:space="0" w:color="auto"/>
                <w:left w:val="none" w:sz="0" w:space="0" w:color="auto"/>
                <w:bottom w:val="none" w:sz="0" w:space="0" w:color="auto"/>
                <w:right w:val="none" w:sz="0" w:space="0" w:color="auto"/>
              </w:divBdr>
              <w:divsChild>
                <w:div w:id="311257288">
                  <w:marLeft w:val="0"/>
                  <w:marRight w:val="0"/>
                  <w:marTop w:val="0"/>
                  <w:marBottom w:val="0"/>
                  <w:divBdr>
                    <w:top w:val="none" w:sz="0" w:space="0" w:color="auto"/>
                    <w:left w:val="none" w:sz="0" w:space="0" w:color="auto"/>
                    <w:bottom w:val="none" w:sz="0" w:space="0" w:color="auto"/>
                    <w:right w:val="none" w:sz="0" w:space="0" w:color="auto"/>
                  </w:divBdr>
                  <w:divsChild>
                    <w:div w:id="755591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770520">
                          <w:marLeft w:val="0"/>
                          <w:marRight w:val="0"/>
                          <w:marTop w:val="0"/>
                          <w:marBottom w:val="0"/>
                          <w:divBdr>
                            <w:top w:val="none" w:sz="0" w:space="0" w:color="auto"/>
                            <w:left w:val="none" w:sz="0" w:space="0" w:color="auto"/>
                            <w:bottom w:val="none" w:sz="0" w:space="0" w:color="auto"/>
                            <w:right w:val="none" w:sz="0" w:space="0" w:color="auto"/>
                          </w:divBdr>
                          <w:divsChild>
                            <w:div w:id="16074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2514</Characters>
  <Application>Microsoft Office Word</Application>
  <DocSecurity>0</DocSecurity>
  <Lines>114</Lines>
  <Paragraphs>69</Paragraphs>
  <ScaleCrop>false</ScaleCrop>
  <Company>Hewlett-Packard Company</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cp:revision>
  <dcterms:created xsi:type="dcterms:W3CDTF">2013-07-23T15:30:00Z</dcterms:created>
  <dcterms:modified xsi:type="dcterms:W3CDTF">2013-07-23T15:32:00Z</dcterms:modified>
</cp:coreProperties>
</file>